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both"/>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年度）</w:t>
      </w:r>
    </w:p>
    <w:p>
      <w:pPr>
        <w:pStyle w:val="48"/>
        <w:spacing w:line="540" w:lineRule="exact"/>
        <w:rPr>
          <w:rFonts w:eastAsiaTheme="minorEastAsia"/>
          <w:kern w:val="0"/>
          <w:sz w:val="30"/>
          <w:szCs w:val="30"/>
        </w:rPr>
      </w:pPr>
    </w:p>
    <w:p>
      <w:pPr>
        <w:pStyle w:val="48"/>
        <w:spacing w:line="540" w:lineRule="exact"/>
        <w:rPr>
          <w:rFonts w:eastAsiaTheme="minorEastAsia"/>
          <w:kern w:val="0"/>
          <w:sz w:val="30"/>
          <w:szCs w:val="30"/>
        </w:rPr>
      </w:pPr>
    </w:p>
    <w:p>
      <w:pPr>
        <w:pStyle w:val="48"/>
        <w:spacing w:line="540" w:lineRule="exact"/>
        <w:rPr>
          <w:rFonts w:hint="eastAsia" w:eastAsiaTheme="minorEastAsia"/>
          <w:kern w:val="0"/>
          <w:sz w:val="30"/>
          <w:szCs w:val="30"/>
        </w:rPr>
      </w:pP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2018年工作</w:t>
      </w:r>
      <w:r>
        <w:rPr>
          <w:rFonts w:hint="eastAsia" w:ascii="仿宋_GB2312" w:hAnsi="仿宋_GB2312" w:eastAsia="仿宋_GB2312" w:cs="仿宋_GB2312"/>
          <w:kern w:val="0"/>
          <w:sz w:val="36"/>
          <w:szCs w:val="36"/>
          <w:lang w:val="en-US" w:eastAsia="zh-CN"/>
        </w:rPr>
        <w:t>人员</w:t>
      </w:r>
      <w:r>
        <w:rPr>
          <w:rFonts w:hint="eastAsia" w:ascii="仿宋_GB2312" w:hAnsi="仿宋_GB2312" w:eastAsia="仿宋_GB2312" w:cs="仿宋_GB2312"/>
          <w:kern w:val="0"/>
          <w:sz w:val="36"/>
          <w:szCs w:val="36"/>
          <w:lang w:val="zh-TW" w:eastAsia="zh-TW"/>
        </w:rPr>
        <w:t>补助及工作</w:t>
      </w:r>
      <w:r>
        <w:rPr>
          <w:rFonts w:hint="eastAsia" w:ascii="仿宋_GB2312" w:hAnsi="仿宋_GB2312" w:eastAsia="仿宋_GB2312" w:cs="仿宋_GB2312"/>
          <w:kern w:val="0"/>
          <w:sz w:val="36"/>
          <w:szCs w:val="36"/>
          <w:lang w:val="en-US" w:eastAsia="zh-CN"/>
        </w:rPr>
        <w:t>人</w:t>
      </w:r>
      <w:bookmarkStart w:id="0" w:name="_GoBack"/>
      <w:bookmarkEnd w:id="0"/>
      <w:r>
        <w:rPr>
          <w:rFonts w:hint="eastAsia" w:ascii="仿宋_GB2312" w:hAnsi="仿宋_GB2312" w:eastAsia="仿宋_GB2312" w:cs="仿宋_GB2312"/>
          <w:kern w:val="0"/>
          <w:sz w:val="36"/>
          <w:szCs w:val="36"/>
          <w:lang w:val="zh-TW" w:eastAsia="zh-TW"/>
        </w:rPr>
        <w:t>员生活补助资金项目</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实施单位（公章）：中共塔什库尔干塔吉克自治县委员会组织部</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主管部门（公章）：中共塔什库尔干塔吉克自治县委员会</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项目负责人（签章）：刘鹏</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zh-TW"/>
        </w:rPr>
        <w:t>31</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hint="eastAsia" w:ascii="黑体" w:hAnsi="黑体" w:eastAsia="黑体"/>
          <w:b w:val="0"/>
          <w:spacing w:val="-4"/>
          <w:sz w:val="32"/>
          <w:szCs w:val="32"/>
        </w:rPr>
      </w:pPr>
    </w:p>
    <w:p>
      <w:pPr>
        <w:pStyle w:val="48"/>
        <w:spacing w:line="700" w:lineRule="exact"/>
        <w:ind w:firstLine="624" w:firstLineChars="200"/>
        <w:jc w:val="left"/>
        <w:rPr>
          <w:rStyle w:val="19"/>
          <w:rFonts w:hint="eastAsia" w:ascii="黑体" w:hAnsi="黑体" w:eastAsia="黑体"/>
          <w:b w:val="0"/>
          <w:spacing w:val="-4"/>
          <w:sz w:val="32"/>
          <w:szCs w:val="32"/>
        </w:rPr>
      </w:pPr>
    </w:p>
    <w:p>
      <w:pPr>
        <w:pStyle w:val="48"/>
        <w:spacing w:line="700" w:lineRule="exact"/>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spacing w:line="540" w:lineRule="exact"/>
        <w:ind w:firstLine="640"/>
        <w:rPr>
          <w:rStyle w:val="19"/>
          <w:rFonts w:ascii="仿宋" w:hAnsi="仿宋" w:eastAsia="仿宋"/>
          <w:spacing w:val="-4"/>
          <w:sz w:val="32"/>
          <w:szCs w:val="32"/>
        </w:rPr>
      </w:pPr>
      <w:r>
        <w:rPr>
          <w:rFonts w:hint="eastAsia" w:ascii="仿宋" w:hAnsi="仿宋" w:eastAsia="仿宋" w:cs="Arial"/>
          <w:sz w:val="32"/>
          <w:szCs w:val="32"/>
        </w:rPr>
        <w:t>我部编制人数26人，其中：行政人员编制9人，参照公务员管理的事业单位人员编制10人，全额拨款事业单位人员编制6人，包括</w:t>
      </w:r>
      <w:r>
        <w:rPr>
          <w:rFonts w:hint="eastAsia" w:ascii="仿宋" w:hAnsi="仿宋" w:eastAsia="仿宋"/>
          <w:sz w:val="32"/>
          <w:szCs w:val="32"/>
        </w:rPr>
        <w:t>办公室、人才援疆办、干部科、基层办、干训科、干监科、组织科等部门。</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40" w:firstLineChars="200"/>
        <w:rPr>
          <w:rFonts w:hint="eastAsia" w:ascii="仿宋" w:hAnsi="仿宋" w:eastAsia="仿宋" w:cs="Arial"/>
          <w:sz w:val="32"/>
          <w:szCs w:val="32"/>
        </w:rPr>
      </w:pPr>
      <w:r>
        <w:rPr>
          <w:rFonts w:hint="eastAsia" w:ascii="仿宋" w:hAnsi="仿宋" w:eastAsia="仿宋" w:cs="Arial"/>
          <w:sz w:val="32"/>
          <w:szCs w:val="32"/>
        </w:rPr>
        <w:t>2018年工作队补助及工作队员生活补助资金项目总金额370.52万元，用于塔什库尔干县县派37个工作队全年的为民办实事工作经费，塔什库尔干县选派216名工作队员全年生活补贴。为民办实事补贴标准为：中村10万，小村5万。工作队员补贴标准为每人每月600元。涉及受益人数为全县居民干部。</w:t>
      </w:r>
    </w:p>
    <w:p>
      <w:pPr>
        <w:tabs>
          <w:tab w:val="left" w:pos="6882"/>
        </w:tabs>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r>
        <w:rPr>
          <w:rFonts w:ascii="仿宋" w:hAnsi="仿宋" w:eastAsia="仿宋"/>
          <w:b/>
          <w:bCs/>
          <w:spacing w:val="-4"/>
          <w:sz w:val="32"/>
          <w:szCs w:val="32"/>
        </w:rPr>
        <w:tab/>
      </w:r>
    </w:p>
    <w:p>
      <w:pPr>
        <w:adjustRightInd w:val="0"/>
        <w:snapToGrid w:val="0"/>
        <w:spacing w:line="560" w:lineRule="exact"/>
        <w:ind w:firstLine="640" w:firstLineChars="200"/>
        <w:rPr>
          <w:rFonts w:ascii="仿宋" w:hAnsi="仿宋" w:eastAsia="仿宋" w:cs="Arial"/>
          <w:sz w:val="32"/>
          <w:szCs w:val="32"/>
        </w:rPr>
      </w:pPr>
      <w:r>
        <w:rPr>
          <w:rFonts w:hint="eastAsia" w:ascii="仿宋" w:hAnsi="仿宋" w:eastAsia="仿宋" w:cs="Arial"/>
          <w:sz w:val="32"/>
          <w:szCs w:val="32"/>
        </w:rPr>
        <w:t>该项目性质为延续项目。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40" w:lineRule="exact"/>
        <w:ind w:firstLine="624" w:firstLineChars="200"/>
        <w:rPr>
          <w:rFonts w:ascii="仿宋" w:hAnsi="仿宋" w:eastAsia="仿宋"/>
          <w:bCs/>
          <w:color w:val="FF0000"/>
          <w:spacing w:val="-4"/>
          <w:sz w:val="32"/>
          <w:szCs w:val="32"/>
        </w:rPr>
      </w:pPr>
      <w:r>
        <w:rPr>
          <w:rFonts w:hint="eastAsia" w:ascii="仿宋" w:hAnsi="仿宋" w:eastAsia="仿宋"/>
          <w:bCs/>
          <w:spacing w:val="-4"/>
          <w:sz w:val="32"/>
          <w:szCs w:val="32"/>
        </w:rPr>
        <w:t>2018年工作队补助及工作队员生活补助资金项目共370.52万元，主要用于2018年工作队补助及工作队员生活补助使用。通过发放此项补助不断激发基层干部干事创业、服务群众的热情，健全基层组织服务保障功能，充分调动群众参与各项事务、活动的积极性、主动性，激发服务对象干事创业激情，筑牢塔什库尔干县社会基层基础。</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40" w:firstLineChars="200"/>
        <w:rPr>
          <w:rFonts w:ascii="仿宋" w:hAnsi="仿宋" w:eastAsia="仿宋"/>
          <w:bCs/>
          <w:color w:val="000000" w:themeColor="text1"/>
          <w:spacing w:val="-4"/>
          <w:sz w:val="32"/>
          <w:szCs w:val="32"/>
        </w:rPr>
      </w:pPr>
      <w:r>
        <w:rPr>
          <w:rFonts w:ascii="仿宋" w:hAnsi="仿宋" w:eastAsia="仿宋"/>
          <w:color w:val="FF0000"/>
          <w:sz w:val="32"/>
          <w:szCs w:val="32"/>
        </w:rPr>
        <w:t xml:space="preserve"> </w:t>
      </w:r>
      <w:r>
        <w:rPr>
          <w:rFonts w:hint="eastAsia" w:ascii="仿宋" w:hAnsi="仿宋" w:eastAsia="仿宋"/>
          <w:bCs/>
          <w:spacing w:val="-4"/>
          <w:sz w:val="32"/>
          <w:szCs w:val="32"/>
        </w:rPr>
        <w:t>2018年工作队补助及工作队员生活补助资金</w:t>
      </w:r>
      <w:r>
        <w:rPr>
          <w:rFonts w:hint="eastAsia" w:ascii="仿宋" w:hAnsi="仿宋" w:eastAsia="仿宋"/>
          <w:bCs/>
          <w:color w:val="000000" w:themeColor="text1"/>
          <w:spacing w:val="-4"/>
          <w:sz w:val="32"/>
          <w:szCs w:val="32"/>
        </w:rPr>
        <w:t>预算安排总额为</w:t>
      </w:r>
      <w:r>
        <w:rPr>
          <w:rFonts w:hint="eastAsia" w:ascii="仿宋" w:hAnsi="仿宋" w:eastAsia="仿宋" w:cs="仿宋"/>
          <w:sz w:val="32"/>
          <w:szCs w:val="32"/>
        </w:rPr>
        <w:t>370.52万元。</w:t>
      </w:r>
      <w:r>
        <w:rPr>
          <w:rFonts w:hint="eastAsia" w:ascii="仿宋" w:hAnsi="仿宋" w:eastAsia="仿宋"/>
          <w:bCs/>
          <w:color w:val="000000" w:themeColor="text1"/>
          <w:spacing w:val="-4"/>
          <w:sz w:val="32"/>
          <w:szCs w:val="32"/>
        </w:rPr>
        <w:t>其中财政资金370.52万元，2018年实际收到预算资金370.52万元。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spacing w:line="540" w:lineRule="exact"/>
        <w:ind w:firstLine="64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本项目实际支付资370.52万元，预算执行率100%。项目资金</w:t>
      </w:r>
      <w:r>
        <w:rPr>
          <w:rFonts w:hint="eastAsia" w:ascii="仿宋" w:hAnsi="仿宋" w:eastAsia="仿宋"/>
          <w:bCs/>
          <w:spacing w:val="-4"/>
          <w:sz w:val="32"/>
          <w:szCs w:val="32"/>
        </w:rPr>
        <w:t>主要用于2018年工作队补助及工作队员生活补助支出370.52万元，</w:t>
      </w:r>
      <w:r>
        <w:rPr>
          <w:rFonts w:hint="eastAsia" w:ascii="仿宋" w:hAnsi="仿宋" w:eastAsia="仿宋" w:cs="Arial"/>
          <w:color w:val="000000" w:themeColor="text1"/>
          <w:sz w:val="32"/>
          <w:szCs w:val="32"/>
          <w:lang w:eastAsia="zh-CN"/>
        </w:rPr>
        <w:t>无</w:t>
      </w:r>
      <w:r>
        <w:rPr>
          <w:rFonts w:hint="eastAsia" w:ascii="仿宋" w:hAnsi="仿宋" w:eastAsia="仿宋" w:cs="Arial"/>
          <w:color w:val="000000" w:themeColor="text1"/>
          <w:sz w:val="32"/>
          <w:szCs w:val="32"/>
        </w:rPr>
        <w:t>其他支出。</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40" w:lineRule="exact"/>
        <w:ind w:firstLine="624" w:firstLineChars="200"/>
        <w:outlineLvl w:val="0"/>
        <w:rPr>
          <w:rFonts w:ascii="仿宋" w:hAnsi="仿宋" w:eastAsia="仿宋" w:cs="仿宋"/>
          <w:bCs/>
          <w:spacing w:val="-4"/>
          <w:sz w:val="32"/>
          <w:szCs w:val="32"/>
        </w:rPr>
      </w:pPr>
      <w:r>
        <w:rPr>
          <w:rStyle w:val="19"/>
          <w:rFonts w:hint="eastAsia" w:ascii="仿宋" w:hAnsi="仿宋" w:eastAsia="仿宋" w:cs="仿宋"/>
          <w:b w:val="0"/>
          <w:spacing w:val="-4"/>
          <w:sz w:val="32"/>
          <w:szCs w:val="32"/>
        </w:rPr>
        <w:t>该项资金坚持“规范管理、专款专用、放大作用”的原则，全面实行项目化管理、台账式监督，做到专人负责。发现问题，及时纠正，切实做到从源头上预防、从根本上纠正、从长远上加强专项资金管理使用，确保每一项专项资金真正用于基层服务对象身上，激发服务对象干事创业激情。</w:t>
      </w:r>
      <w:r>
        <w:rPr>
          <w:rFonts w:hint="eastAsia" w:ascii="仿宋" w:hAnsi="仿宋" w:eastAsia="仿宋" w:cs="Arial"/>
          <w:color w:val="000000" w:themeColor="text1"/>
          <w:sz w:val="32"/>
          <w:szCs w:val="32"/>
        </w:rPr>
        <w:t>资金的拨付有完整的审批程序和手续，自地区下拨该项资金以后，由县委组织部财务人员按照发放标准和需发放人数直接发放给受益人群，此过程不存在截留、挤占、挪用等情况。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40" w:firstLineChars="200"/>
        <w:rPr>
          <w:rFonts w:cs="Arial"/>
          <w:bCs/>
          <w:color w:val="000000" w:themeColor="text1"/>
        </w:rPr>
      </w:pPr>
      <w:r>
        <w:rPr>
          <w:rFonts w:hint="eastAsia" w:ascii="仿宋" w:hAnsi="仿宋" w:eastAsia="仿宋" w:cs="Arial"/>
          <w:color w:val="000000" w:themeColor="text1"/>
          <w:sz w:val="32"/>
          <w:szCs w:val="32"/>
        </w:rPr>
        <w:t>本项目不存在调整情况。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spacing w:line="540" w:lineRule="exact"/>
        <w:ind w:firstLine="640" w:firstLineChars="20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对该项目资金的管理及发放方式，是由我县发放实际及与各相关单位共同商议的结果，即由县委组织部发放到各乡镇，再由各乡镇负责最终的发放，最后由县委组织部对发放结果进行调查，以确保该项资金的足额发放。</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lang w:val="en-US" w:eastAsia="zh-CN"/>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14</w:t>
      </w:r>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rPr>
        <w:t>14</w:t>
      </w:r>
      <w:r>
        <w:rPr>
          <w:rFonts w:ascii="仿宋" w:hAnsi="仿宋" w:eastAsia="仿宋"/>
          <w:bCs/>
          <w:spacing w:val="-4"/>
          <w:sz w:val="32"/>
          <w:szCs w:val="32"/>
        </w:rPr>
        <w:t>个</w:t>
      </w:r>
      <w:r>
        <w:rPr>
          <w:rFonts w:hint="eastAsia" w:ascii="仿宋" w:hAnsi="仿宋" w:eastAsia="仿宋"/>
          <w:bCs/>
          <w:spacing w:val="-4"/>
          <w:sz w:val="32"/>
          <w:szCs w:val="32"/>
        </w:rPr>
        <w:t>，指标完成率为100%。</w:t>
      </w:r>
    </w:p>
    <w:p>
      <w:pPr>
        <w:adjustRightInd w:val="0"/>
        <w:snapToGrid w:val="0"/>
        <w:spacing w:line="560" w:lineRule="exact"/>
        <w:ind w:firstLine="624" w:firstLineChars="200"/>
        <w:rPr>
          <w:rStyle w:val="19"/>
          <w:rFonts w:hint="eastAsia" w:ascii="仿宋" w:hAnsi="仿宋" w:eastAsia="仿宋"/>
          <w:b w:val="0"/>
          <w:color w:val="000000" w:themeColor="text1"/>
          <w:spacing w:val="-4"/>
          <w:sz w:val="32"/>
          <w:szCs w:val="32"/>
          <w:lang w:eastAsia="zh-CN"/>
        </w:rPr>
      </w:pPr>
      <w:r>
        <w:rPr>
          <w:rStyle w:val="19"/>
          <w:rFonts w:hint="eastAsia" w:ascii="仿宋" w:hAnsi="仿宋" w:eastAsia="仿宋"/>
          <w:b w:val="0"/>
          <w:color w:val="000000" w:themeColor="text1"/>
          <w:spacing w:val="-4"/>
          <w:sz w:val="32"/>
          <w:szCs w:val="32"/>
        </w:rPr>
        <w:t>经济性：</w:t>
      </w:r>
      <w:r>
        <w:rPr>
          <w:rStyle w:val="19"/>
          <w:rFonts w:hint="eastAsia" w:ascii="仿宋" w:hAnsi="仿宋" w:eastAsia="仿宋"/>
          <w:b w:val="0"/>
          <w:color w:val="000000" w:themeColor="text1"/>
          <w:spacing w:val="-4"/>
          <w:sz w:val="32"/>
          <w:szCs w:val="32"/>
          <w:lang w:eastAsia="zh-CN"/>
        </w:rPr>
        <w:t>按标准</w:t>
      </w:r>
      <w:r>
        <w:rPr>
          <w:rStyle w:val="19"/>
          <w:rFonts w:hint="eastAsia" w:ascii="仿宋" w:hAnsi="仿宋" w:eastAsia="仿宋"/>
          <w:b w:val="0"/>
          <w:color w:val="000000" w:themeColor="text1"/>
          <w:spacing w:val="-4"/>
          <w:sz w:val="32"/>
          <w:szCs w:val="32"/>
        </w:rPr>
        <w:t>发放工作队中村工作经费</w:t>
      </w:r>
      <w:r>
        <w:rPr>
          <w:rStyle w:val="19"/>
          <w:rFonts w:hint="eastAsia" w:ascii="仿宋" w:hAnsi="仿宋" w:eastAsia="仿宋"/>
          <w:b w:val="0"/>
          <w:color w:val="000000" w:themeColor="text1"/>
          <w:spacing w:val="-4"/>
          <w:sz w:val="32"/>
          <w:szCs w:val="32"/>
          <w:lang w:eastAsia="zh-CN"/>
        </w:rPr>
        <w:t>。</w:t>
      </w:r>
    </w:p>
    <w:p>
      <w:pPr>
        <w:adjustRightInd w:val="0"/>
        <w:snapToGrid w:val="0"/>
        <w:spacing w:line="560" w:lineRule="exact"/>
        <w:ind w:firstLine="624" w:firstLineChars="200"/>
        <w:rPr>
          <w:rStyle w:val="19"/>
          <w:rFonts w:hint="default" w:ascii="仿宋" w:hAnsi="仿宋" w:eastAsia="仿宋"/>
          <w:b w:val="0"/>
          <w:color w:val="FF0000"/>
          <w:spacing w:val="-4"/>
          <w:sz w:val="32"/>
          <w:szCs w:val="32"/>
          <w:lang w:val="en-US" w:eastAsia="zh-CN"/>
        </w:rPr>
      </w:pPr>
      <w:r>
        <w:rPr>
          <w:rStyle w:val="19"/>
          <w:rFonts w:hint="eastAsia" w:ascii="仿宋" w:hAnsi="仿宋" w:eastAsia="仿宋"/>
          <w:b w:val="0"/>
          <w:color w:val="000000" w:themeColor="text1"/>
          <w:spacing w:val="-4"/>
          <w:sz w:val="32"/>
          <w:szCs w:val="32"/>
        </w:rPr>
        <w:t>效率性：工作队工作经费按照行政村数足额拨付率</w:t>
      </w:r>
      <w:r>
        <w:rPr>
          <w:rStyle w:val="19"/>
          <w:rFonts w:hint="eastAsia" w:ascii="仿宋" w:hAnsi="仿宋" w:eastAsia="仿宋"/>
          <w:b w:val="0"/>
          <w:color w:val="000000" w:themeColor="text1"/>
          <w:spacing w:val="-4"/>
          <w:sz w:val="32"/>
          <w:szCs w:val="32"/>
          <w:lang w:val="en-US" w:eastAsia="zh-CN"/>
        </w:rPr>
        <w:t>100%，工作队工作经费按时拨付率100%。</w:t>
      </w:r>
    </w:p>
    <w:p>
      <w:pPr>
        <w:adjustRightInd w:val="0"/>
        <w:snapToGrid w:val="0"/>
        <w:spacing w:line="560" w:lineRule="exact"/>
        <w:ind w:firstLine="624" w:firstLineChars="200"/>
        <w:rPr>
          <w:rFonts w:ascii="仿宋" w:hAnsi="仿宋" w:eastAsia="仿宋"/>
          <w:bCs/>
          <w:color w:val="FF0000"/>
          <w:spacing w:val="-4"/>
          <w:sz w:val="32"/>
          <w:szCs w:val="32"/>
        </w:rPr>
      </w:pPr>
      <w:r>
        <w:rPr>
          <w:rStyle w:val="19"/>
          <w:rFonts w:hint="eastAsia" w:ascii="仿宋" w:hAnsi="仿宋" w:eastAsia="仿宋"/>
          <w:b w:val="0"/>
          <w:color w:val="000000" w:themeColor="text1"/>
          <w:spacing w:val="-4"/>
          <w:sz w:val="32"/>
          <w:szCs w:val="32"/>
        </w:rPr>
        <w:t>效益性：工作队工作经费保障覆盖率</w:t>
      </w:r>
      <w:r>
        <w:rPr>
          <w:rStyle w:val="19"/>
          <w:rFonts w:hint="eastAsia" w:ascii="仿宋" w:hAnsi="仿宋" w:eastAsia="仿宋"/>
          <w:b w:val="0"/>
          <w:color w:val="000000" w:themeColor="text1"/>
          <w:spacing w:val="-4"/>
          <w:sz w:val="32"/>
          <w:szCs w:val="32"/>
          <w:lang w:val="en-US" w:eastAsia="zh-CN"/>
        </w:rPr>
        <w:t>100%，激发基层干部干事创业、服务群众的热情，健全基层组织服务保障功能，筑牢塔什库尔干县社会基层基础。</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不存在未完成情况</w:t>
      </w:r>
      <w:r>
        <w:rPr>
          <w:rFonts w:ascii="仿宋" w:hAnsi="仿宋" w:eastAsia="仿宋"/>
          <w:spacing w:val="-4"/>
          <w:sz w:val="32"/>
          <w:szCs w:val="32"/>
        </w:rPr>
        <w:t>:</w:t>
      </w:r>
      <w:r>
        <w:rPr>
          <w:rFonts w:hint="eastAsia" w:ascii="仿宋" w:hAnsi="仿宋" w:eastAsia="仿宋"/>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774" w:firstLineChars="242"/>
        <w:rPr>
          <w:rFonts w:hint="eastAsia" w:ascii="仿宋" w:hAnsi="仿宋" w:eastAsia="仿宋" w:cs="Arial"/>
          <w:color w:val="000000" w:themeColor="text1"/>
          <w:sz w:val="32"/>
          <w:szCs w:val="32"/>
          <w:lang w:eastAsia="zh-CN"/>
        </w:rPr>
      </w:pPr>
      <w:r>
        <w:rPr>
          <w:rFonts w:ascii="仿宋" w:hAnsi="仿宋" w:eastAsia="仿宋" w:cs="Arial"/>
          <w:color w:val="000000" w:themeColor="text1"/>
          <w:sz w:val="32"/>
          <w:szCs w:val="32"/>
        </w:rPr>
        <w:t>无</w:t>
      </w:r>
      <w:r>
        <w:rPr>
          <w:rFonts w:hint="eastAsia" w:ascii="仿宋" w:hAnsi="仿宋" w:eastAsia="仿宋" w:cs="Arial"/>
          <w:color w:val="000000" w:themeColor="text1"/>
          <w:sz w:val="32"/>
          <w:szCs w:val="32"/>
          <w:lang w:eastAsia="zh-CN"/>
        </w:rPr>
        <w:t>。</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40" w:firstLineChars="20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1、主要经验及做法：在大额资金的发放过程中，一定要根据本地区的实际，提出适合本地区情况的具体发放措施。</w:t>
      </w:r>
    </w:p>
    <w:p>
      <w:pPr>
        <w:adjustRightInd w:val="0"/>
        <w:snapToGrid w:val="0"/>
        <w:spacing w:line="560" w:lineRule="exact"/>
        <w:ind w:firstLine="640" w:firstLineChars="20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2、存在的问题：此次资金的发放，由于涉及到的金额大、范围广，如果要全部直接发放给受益人群，不利于操作。</w:t>
      </w:r>
    </w:p>
    <w:p>
      <w:pPr>
        <w:spacing w:line="540" w:lineRule="exact"/>
        <w:ind w:firstLine="774" w:firstLineChars="242"/>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3、建议：经过各方商议，结合本地区实际，提出了由财政-组织部-乡（镇）府-领取人的具体实施措施，事实证明，这种方法适合我县实际。</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40" w:firstLineChars="200"/>
        <w:rPr>
          <w:rFonts w:ascii="仿宋" w:hAnsi="仿宋" w:eastAsia="仿宋"/>
          <w:color w:val="FF0000"/>
          <w:spacing w:val="-4"/>
          <w:sz w:val="32"/>
          <w:szCs w:val="32"/>
        </w:rPr>
      </w:pPr>
      <w:r>
        <w:rPr>
          <w:rFonts w:hint="eastAsia" w:ascii="仿宋" w:hAnsi="仿宋" w:eastAsia="仿宋" w:cs="Arial"/>
          <w:color w:val="000000" w:themeColor="text1"/>
          <w:sz w:val="32"/>
          <w:szCs w:val="32"/>
          <w:lang w:eastAsia="zh-CN"/>
        </w:rPr>
        <w:t>本项目</w:t>
      </w:r>
      <w:r>
        <w:rPr>
          <w:rFonts w:hint="eastAsia" w:ascii="仿宋" w:hAnsi="仿宋" w:eastAsia="仿宋" w:cs="Arial"/>
          <w:color w:val="000000" w:themeColor="text1"/>
          <w:sz w:val="32"/>
          <w:szCs w:val="32"/>
        </w:rPr>
        <w:t>资金发放，采取的方法</w:t>
      </w:r>
      <w:r>
        <w:rPr>
          <w:rFonts w:hint="eastAsia" w:ascii="仿宋" w:hAnsi="仿宋" w:eastAsia="仿宋" w:cs="Arial"/>
          <w:color w:val="000000" w:themeColor="text1"/>
          <w:sz w:val="32"/>
          <w:szCs w:val="32"/>
          <w:lang w:eastAsia="zh-CN"/>
        </w:rPr>
        <w:t>规范</w:t>
      </w:r>
      <w:r>
        <w:rPr>
          <w:rFonts w:hint="eastAsia" w:ascii="仿宋" w:hAnsi="仿宋" w:eastAsia="仿宋" w:cs="Arial"/>
          <w:color w:val="000000" w:themeColor="text1"/>
          <w:sz w:val="32"/>
          <w:szCs w:val="32"/>
        </w:rPr>
        <w:t>，根据发放后不定期的调查，证明，各受益人对此次资金发放的方式和效率均表示满意。</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color w:val="FF0000"/>
          <w:spacing w:val="-4"/>
          <w:sz w:val="32"/>
          <w:szCs w:val="32"/>
        </w:rPr>
      </w:pPr>
    </w:p>
    <w:p>
      <w:pPr>
        <w:adjustRightInd w:val="0"/>
        <w:snapToGrid w:val="0"/>
        <w:spacing w:line="560" w:lineRule="exact"/>
        <w:rPr>
          <w:rStyle w:val="19"/>
          <w:rFonts w:ascii="仿宋" w:hAnsi="仿宋" w:eastAsia="仿宋"/>
          <w:color w:val="FF0000"/>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87E5C"/>
    <w:rsid w:val="0012208E"/>
    <w:rsid w:val="00135256"/>
    <w:rsid w:val="001A4E1F"/>
    <w:rsid w:val="001A57B9"/>
    <w:rsid w:val="001C3847"/>
    <w:rsid w:val="001F3031"/>
    <w:rsid w:val="00210A26"/>
    <w:rsid w:val="0029152D"/>
    <w:rsid w:val="002A2532"/>
    <w:rsid w:val="002A2D76"/>
    <w:rsid w:val="0031134A"/>
    <w:rsid w:val="00365250"/>
    <w:rsid w:val="0036624C"/>
    <w:rsid w:val="00385849"/>
    <w:rsid w:val="003D7A9B"/>
    <w:rsid w:val="003F1A98"/>
    <w:rsid w:val="0050167F"/>
    <w:rsid w:val="00514506"/>
    <w:rsid w:val="005162F1"/>
    <w:rsid w:val="00516E80"/>
    <w:rsid w:val="00535153"/>
    <w:rsid w:val="00575CFE"/>
    <w:rsid w:val="00583AFC"/>
    <w:rsid w:val="00592D09"/>
    <w:rsid w:val="00675D58"/>
    <w:rsid w:val="006F2E6D"/>
    <w:rsid w:val="007142CF"/>
    <w:rsid w:val="007218B8"/>
    <w:rsid w:val="00755C6A"/>
    <w:rsid w:val="00785FDE"/>
    <w:rsid w:val="007A0351"/>
    <w:rsid w:val="007A14BC"/>
    <w:rsid w:val="007C1025"/>
    <w:rsid w:val="007E6845"/>
    <w:rsid w:val="007F5F8A"/>
    <w:rsid w:val="00826CA1"/>
    <w:rsid w:val="0082787B"/>
    <w:rsid w:val="00835B7F"/>
    <w:rsid w:val="00855E3A"/>
    <w:rsid w:val="00882985"/>
    <w:rsid w:val="009065F4"/>
    <w:rsid w:val="00922CB9"/>
    <w:rsid w:val="009350F7"/>
    <w:rsid w:val="009B526F"/>
    <w:rsid w:val="009C1AFD"/>
    <w:rsid w:val="009D4BFB"/>
    <w:rsid w:val="00A26421"/>
    <w:rsid w:val="00A4293B"/>
    <w:rsid w:val="00A45BB6"/>
    <w:rsid w:val="00A83BD5"/>
    <w:rsid w:val="00A977DF"/>
    <w:rsid w:val="00AE6A23"/>
    <w:rsid w:val="00B06CA5"/>
    <w:rsid w:val="00B13FCF"/>
    <w:rsid w:val="00B41F61"/>
    <w:rsid w:val="00B464C5"/>
    <w:rsid w:val="00B55332"/>
    <w:rsid w:val="00B86E8C"/>
    <w:rsid w:val="00BE1A00"/>
    <w:rsid w:val="00C22CF0"/>
    <w:rsid w:val="00C56C72"/>
    <w:rsid w:val="00CA6457"/>
    <w:rsid w:val="00CC4442"/>
    <w:rsid w:val="00CC6E4D"/>
    <w:rsid w:val="00D17F2E"/>
    <w:rsid w:val="00D46194"/>
    <w:rsid w:val="00E01293"/>
    <w:rsid w:val="00E027D1"/>
    <w:rsid w:val="00E769FE"/>
    <w:rsid w:val="00EA2CBE"/>
    <w:rsid w:val="00EF3FFA"/>
    <w:rsid w:val="00F32FEE"/>
    <w:rsid w:val="00F53E69"/>
    <w:rsid w:val="00FB1660"/>
    <w:rsid w:val="0AB56CE2"/>
    <w:rsid w:val="0EAD3EA7"/>
    <w:rsid w:val="0EB107EC"/>
    <w:rsid w:val="1341260A"/>
    <w:rsid w:val="21454B50"/>
    <w:rsid w:val="220407A3"/>
    <w:rsid w:val="275833BE"/>
    <w:rsid w:val="397F4FE8"/>
    <w:rsid w:val="40E84751"/>
    <w:rsid w:val="47FA2AC1"/>
    <w:rsid w:val="4EFD6A38"/>
    <w:rsid w:val="54FD63A2"/>
    <w:rsid w:val="56AF4927"/>
    <w:rsid w:val="5A7F02EA"/>
    <w:rsid w:val="5D010862"/>
    <w:rsid w:val="6D856618"/>
    <w:rsid w:val="703C7EB8"/>
    <w:rsid w:val="71172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customStyle="1" w:styleId="32">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引用1"/>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明显引用1"/>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character" w:customStyle="1" w:styleId="49">
    <w:name w:val="font21"/>
    <w:basedOn w:val="18"/>
    <w:qFormat/>
    <w:uiPriority w:val="0"/>
    <w:rPr>
      <w:rFonts w:hint="default" w:ascii="Times New Roman" w:hAnsi="Times New Roman" w:cs="Times New Roman"/>
      <w:color w:val="000000"/>
      <w:sz w:val="24"/>
      <w:szCs w:val="24"/>
      <w:u w:val="none"/>
    </w:rPr>
  </w:style>
  <w:style w:type="character" w:customStyle="1" w:styleId="50">
    <w:name w:val="font01"/>
    <w:basedOn w:val="18"/>
    <w:qFormat/>
    <w:uiPriority w:val="0"/>
    <w:rPr>
      <w:rFonts w:hint="eastAsia" w:ascii="宋体" w:hAnsi="宋体" w:eastAsia="宋体" w:cs="宋体"/>
      <w:color w:val="000000"/>
      <w:sz w:val="24"/>
      <w:szCs w:val="24"/>
      <w:u w:val="none"/>
    </w:rPr>
  </w:style>
  <w:style w:type="character" w:customStyle="1" w:styleId="51">
    <w:name w:val="font11"/>
    <w:basedOn w:val="18"/>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E149A3-8933-4B77-91B5-79C13D0F83AE}">
  <ds:schemaRefs/>
</ds:datastoreItem>
</file>

<file path=docProps/app.xml><?xml version="1.0" encoding="utf-8"?>
<Properties xmlns="http://schemas.openxmlformats.org/officeDocument/2006/extended-properties" xmlns:vt="http://schemas.openxmlformats.org/officeDocument/2006/docPropsVTypes">
  <Template>Normal</Template>
  <Pages>5</Pages>
  <Words>252</Words>
  <Characters>1442</Characters>
  <Lines>12</Lines>
  <Paragraphs>3</Paragraphs>
  <TotalTime>6</TotalTime>
  <ScaleCrop>false</ScaleCrop>
  <LinksUpToDate>false</LinksUpToDate>
  <CharactersWithSpaces>1691</CharactersWithSpaces>
  <Application>WPS Office_11.1.0.9058_F1E327BC-269C-435d-A152-05C5408002CA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2019-10-14T10:36:41Z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2052-11.1.0.9058</vt:lpwstr>
  </property>
</Properties>
</file>